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8EB" w:rsidRPr="007328EB" w:rsidRDefault="007328EB" w:rsidP="00696659">
      <w:pPr>
        <w:shd w:val="clear" w:color="auto" w:fill="67AB43"/>
        <w:spacing w:after="450" w:line="240" w:lineRule="auto"/>
        <w:jc w:val="both"/>
        <w:outlineLvl w:val="0"/>
        <w:rPr>
          <w:rFonts w:ascii="Arial" w:eastAsia="Times New Roman" w:hAnsi="Arial" w:cs="Arial"/>
          <w:b/>
          <w:bCs/>
          <w:color w:val="FFFFFF"/>
          <w:kern w:val="36"/>
          <w:sz w:val="36"/>
          <w:szCs w:val="36"/>
          <w:lang w:eastAsia="fr-CH"/>
        </w:rPr>
      </w:pPr>
      <w:r w:rsidRPr="007328EB">
        <w:rPr>
          <w:rFonts w:ascii="Arial" w:eastAsia="Times New Roman" w:hAnsi="Arial" w:cs="Arial"/>
          <w:b/>
          <w:bCs/>
          <w:color w:val="FFFFFF"/>
          <w:kern w:val="36"/>
          <w:sz w:val="36"/>
          <w:szCs w:val="36"/>
          <w:lang w:eastAsia="fr-CH"/>
        </w:rPr>
        <w:t>Soutenir les services de conseils pour une agriculture intelligente</w:t>
      </w:r>
    </w:p>
    <w:p w:rsidR="007328EB" w:rsidRPr="007328EB" w:rsidRDefault="007328EB" w:rsidP="00696659">
      <w:pPr>
        <w:shd w:val="clear" w:color="auto" w:fill="67AB43"/>
        <w:spacing w:after="0" w:line="240" w:lineRule="auto"/>
        <w:jc w:val="both"/>
        <w:rPr>
          <w:rFonts w:ascii="Arial" w:eastAsia="Times New Roman" w:hAnsi="Arial" w:cs="Arial"/>
          <w:b/>
          <w:bCs/>
          <w:caps/>
          <w:color w:val="FFFFFF"/>
          <w:sz w:val="30"/>
          <w:szCs w:val="30"/>
          <w:lang w:eastAsia="fr-CH"/>
        </w:rPr>
      </w:pPr>
      <w:r w:rsidRPr="007328EB">
        <w:rPr>
          <w:rFonts w:ascii="Arial" w:eastAsia="Times New Roman" w:hAnsi="Arial" w:cs="Arial"/>
          <w:b/>
          <w:bCs/>
          <w:caps/>
          <w:color w:val="FFFFFF"/>
          <w:sz w:val="30"/>
          <w:szCs w:val="30"/>
          <w:bdr w:val="none" w:sz="0" w:space="0" w:color="auto" w:frame="1"/>
          <w:lang w:eastAsia="fr-CH"/>
        </w:rPr>
        <w:t>DOSSIER : LES TIC AU SERVICE DE LA VULGARISATION AGRICOLE</w:t>
      </w:r>
    </w:p>
    <w:p w:rsidR="007328EB" w:rsidRPr="007328EB" w:rsidRDefault="007328EB" w:rsidP="00696659">
      <w:pPr>
        <w:shd w:val="clear" w:color="auto" w:fill="67AB43"/>
        <w:spacing w:after="450" w:line="240" w:lineRule="auto"/>
        <w:jc w:val="both"/>
        <w:rPr>
          <w:rFonts w:ascii="Times New Roman" w:eastAsia="Times New Roman" w:hAnsi="Times New Roman" w:cs="Times New Roman"/>
          <w:color w:val="FFFFFF"/>
          <w:sz w:val="18"/>
          <w:szCs w:val="18"/>
          <w:lang w:eastAsia="fr-CH"/>
        </w:rPr>
      </w:pPr>
      <w:r w:rsidRPr="007328EB">
        <w:rPr>
          <w:rFonts w:ascii="Times New Roman" w:eastAsia="Times New Roman" w:hAnsi="Times New Roman" w:cs="Times New Roman"/>
          <w:color w:val="FFFFFF"/>
          <w:sz w:val="18"/>
          <w:szCs w:val="18"/>
          <w:lang w:eastAsia="fr-CH"/>
        </w:rPr>
        <w:t>© CTA</w:t>
      </w:r>
    </w:p>
    <w:p w:rsidR="007328EB" w:rsidRPr="007328EB" w:rsidRDefault="007328EB" w:rsidP="00696659">
      <w:pPr>
        <w:shd w:val="clear" w:color="auto" w:fill="FFFFFF"/>
        <w:spacing w:after="0" w:line="240" w:lineRule="auto"/>
        <w:jc w:val="both"/>
        <w:rPr>
          <w:rFonts w:ascii="Arial" w:eastAsia="Times New Roman" w:hAnsi="Arial" w:cs="Arial"/>
          <w:caps/>
          <w:color w:val="3D3D3D"/>
          <w:sz w:val="16"/>
          <w:szCs w:val="16"/>
          <w:lang w:eastAsia="fr-CH"/>
        </w:rPr>
      </w:pPr>
      <w:r w:rsidRPr="007328EB">
        <w:rPr>
          <w:rFonts w:ascii="Arial" w:eastAsia="Times New Roman" w:hAnsi="Arial" w:cs="Arial"/>
          <w:caps/>
          <w:color w:val="3D3D3D"/>
          <w:sz w:val="16"/>
          <w:szCs w:val="16"/>
          <w:lang w:eastAsia="fr-CH"/>
        </w:rPr>
        <w:t>JEUDI, 22 AOÛT 2019</w:t>
      </w:r>
    </w:p>
    <w:p w:rsidR="007328EB" w:rsidRPr="007328EB" w:rsidRDefault="007328EB" w:rsidP="00696659">
      <w:pPr>
        <w:shd w:val="clear" w:color="auto" w:fill="FFFFFF"/>
        <w:spacing w:after="0" w:line="240" w:lineRule="auto"/>
        <w:jc w:val="both"/>
        <w:rPr>
          <w:rFonts w:ascii="Georgia" w:eastAsia="Times New Roman" w:hAnsi="Georgia" w:cs="Times New Roman"/>
          <w:color w:val="3D3D3D"/>
          <w:sz w:val="18"/>
          <w:szCs w:val="18"/>
          <w:lang w:eastAsia="fr-CH"/>
        </w:rPr>
      </w:pPr>
      <w:r w:rsidRPr="007328EB">
        <w:rPr>
          <w:rFonts w:ascii="Georgia" w:eastAsia="Times New Roman" w:hAnsi="Georgia" w:cs="Times New Roman"/>
          <w:color w:val="3D3D3D"/>
          <w:sz w:val="18"/>
          <w:szCs w:val="18"/>
          <w:lang w:eastAsia="fr-CH"/>
        </w:rPr>
        <w:t>par Tiana Cline</w:t>
      </w:r>
    </w:p>
    <w:p w:rsidR="007328EB" w:rsidRPr="007328EB" w:rsidRDefault="007328EB" w:rsidP="00696659">
      <w:pPr>
        <w:shd w:val="clear" w:color="auto" w:fill="FFFFFF"/>
        <w:spacing w:after="0" w:line="240" w:lineRule="auto"/>
        <w:jc w:val="both"/>
        <w:rPr>
          <w:rFonts w:ascii="Arial" w:eastAsia="Times New Roman" w:hAnsi="Arial" w:cs="Arial"/>
          <w:b/>
          <w:bCs/>
          <w:caps/>
          <w:color w:val="3D3D3D"/>
          <w:sz w:val="26"/>
          <w:szCs w:val="26"/>
          <w:lang w:eastAsia="fr-CH"/>
        </w:rPr>
      </w:pPr>
      <w:r w:rsidRPr="007328EB">
        <w:rPr>
          <w:rFonts w:ascii="Arial" w:eastAsia="Times New Roman" w:hAnsi="Arial" w:cs="Arial"/>
          <w:b/>
          <w:bCs/>
          <w:caps/>
          <w:color w:val="3D3D3D"/>
          <w:sz w:val="26"/>
          <w:szCs w:val="26"/>
          <w:lang w:eastAsia="fr-CH"/>
        </w:rPr>
        <w:t>DIGITALISATION ET VULGARISATION</w:t>
      </w:r>
    </w:p>
    <w:p w:rsidR="007328EB" w:rsidRPr="007328EB" w:rsidRDefault="007328EB" w:rsidP="00696659">
      <w:pPr>
        <w:shd w:val="clear" w:color="auto" w:fill="FFFFFF"/>
        <w:spacing w:after="0" w:line="240" w:lineRule="auto"/>
        <w:jc w:val="both"/>
        <w:rPr>
          <w:rFonts w:ascii="Georgia" w:eastAsia="Times New Roman" w:hAnsi="Georgia" w:cs="Times New Roman"/>
          <w:color w:val="3D3D3D"/>
          <w:sz w:val="26"/>
          <w:szCs w:val="26"/>
          <w:lang w:eastAsia="fr-CH"/>
        </w:rPr>
      </w:pPr>
      <w:r w:rsidRPr="007328EB">
        <w:rPr>
          <w:rFonts w:ascii="Georgia" w:eastAsia="Times New Roman" w:hAnsi="Georgia" w:cs="Times New Roman"/>
          <w:color w:val="3D3D3D"/>
          <w:sz w:val="26"/>
          <w:szCs w:val="26"/>
          <w:lang w:eastAsia="fr-CH"/>
        </w:rPr>
        <w:t>La digitalisation améliore les systèmes de vulgarisation agricole en fournissant des services au moment opportun et en facilitant l'adoption de nouvelles pratiques agronomiques. Résultat</w:t>
      </w:r>
      <w:r w:rsidRPr="007328EB">
        <w:rPr>
          <w:rFonts w:ascii="Times New Roman" w:eastAsia="Times New Roman" w:hAnsi="Times New Roman" w:cs="Times New Roman"/>
          <w:color w:val="3D3D3D"/>
          <w:sz w:val="26"/>
          <w:szCs w:val="26"/>
          <w:lang w:eastAsia="fr-CH"/>
        </w:rPr>
        <w:t> </w:t>
      </w:r>
      <w:r w:rsidRPr="007328EB">
        <w:rPr>
          <w:rFonts w:ascii="Georgia" w:eastAsia="Times New Roman" w:hAnsi="Georgia" w:cs="Times New Roman"/>
          <w:color w:val="3D3D3D"/>
          <w:sz w:val="26"/>
          <w:szCs w:val="26"/>
          <w:lang w:eastAsia="fr-CH"/>
        </w:rPr>
        <w:t>: les rendements et les revenus des producteurs augmentent.</w:t>
      </w:r>
    </w:p>
    <w:p w:rsidR="007328EB" w:rsidRPr="007328EB" w:rsidRDefault="007328EB" w:rsidP="00696659">
      <w:pPr>
        <w:shd w:val="clear" w:color="auto" w:fill="FFFFFF"/>
        <w:spacing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Traditionnellement, les petits agriculteurs prennent leurs décisions en s’appuyant sur leur expérience, les pratiques courantes et les savoirs collectifs, mais cela ne se traduit pas nécessairement en productivité ou profits. “Les services concrets de vulgarisation, qui vont de la préparation des sols à la planification de l’irrigation en passant par la sélection de cultivars résistants et les stratégies intégrées de lutte contre les ravageurs dans l’agriculture africaine, sont cruciaux parce qu’il existe un potentiel latent pour garantir la sécurité alimentaire mondiale, mais les infrastructures, compétences et développements sociaux qui permettraient de déverrouiller ce potentiel sont encore inexistants”, affirme Marili Mouton, une agronome qui travaille en Afrique du Sud. Pour que l’agriculture africaine se transforme, estime-t-elle, de nouvelles manières de travailler sont nécessaires. Cela passe par l’innovation en matière de services de vulgarisation avec l’utilisation des TIC.</w:t>
      </w:r>
    </w:p>
    <w:p w:rsidR="007328EB" w:rsidRPr="007328EB" w:rsidRDefault="007328EB" w:rsidP="00696659">
      <w:pPr>
        <w:shd w:val="clear" w:color="auto" w:fill="FFFFFF"/>
        <w:spacing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noProof/>
          <w:color w:val="3D3D3D"/>
          <w:sz w:val="21"/>
          <w:szCs w:val="21"/>
          <w:lang w:eastAsia="fr-CH"/>
        </w:rPr>
        <w:drawing>
          <wp:inline distT="0" distB="0" distL="0" distR="0">
            <wp:extent cx="3048000" cy="2032000"/>
            <wp:effectExtent l="0" t="0" r="0" b="6350"/>
            <wp:docPr id="3" name="Image 3" descr="RiceAdvice, une appli pour Android en deux langues, fournit aux agents de vulgarisation et aux petits producteurs du Mali, Nigeria et Sénégal des conseils contextualis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eAdvice, une appli pour Android en deux langues, fournit aux agents de vulgarisation et aux petits producteurs du Mali, Nigeria et Sénégal des conseils contextualisé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rsidR="007328EB" w:rsidRPr="007328EB" w:rsidRDefault="007328EB" w:rsidP="00696659">
      <w:pPr>
        <w:shd w:val="clear" w:color="auto" w:fill="FFFFFF"/>
        <w:spacing w:after="0" w:line="240" w:lineRule="auto"/>
        <w:jc w:val="both"/>
        <w:rPr>
          <w:rFonts w:ascii="Arial" w:eastAsia="Times New Roman" w:hAnsi="Arial" w:cs="Arial"/>
          <w:color w:val="3D3D3D"/>
          <w:sz w:val="18"/>
          <w:szCs w:val="18"/>
          <w:lang w:eastAsia="fr-CH"/>
        </w:rPr>
      </w:pPr>
      <w:r w:rsidRPr="007328EB">
        <w:rPr>
          <w:rFonts w:ascii="Arial" w:eastAsia="Times New Roman" w:hAnsi="Arial" w:cs="Arial"/>
          <w:color w:val="3D3D3D"/>
          <w:sz w:val="18"/>
          <w:szCs w:val="18"/>
          <w:lang w:eastAsia="fr-CH"/>
        </w:rPr>
        <w:t>RiceAdvice, une appli pour Android en deux langues, fournit aux agents de vulgarisation et aux petits producteurs du Mali, Nigeria et Sénégal des conseils contextualisés.</w:t>
      </w:r>
    </w:p>
    <w:p w:rsidR="007328EB" w:rsidRPr="007328EB" w:rsidRDefault="007328EB" w:rsidP="00696659">
      <w:pPr>
        <w:shd w:val="clear" w:color="auto" w:fill="FFFFFF"/>
        <w:spacing w:after="0" w:line="240" w:lineRule="auto"/>
        <w:jc w:val="both"/>
        <w:rPr>
          <w:rFonts w:ascii="Georgia" w:eastAsia="Times New Roman" w:hAnsi="Georgia" w:cs="Times New Roman"/>
          <w:color w:val="3D3D3D"/>
          <w:sz w:val="16"/>
          <w:szCs w:val="16"/>
          <w:lang w:eastAsia="fr-CH"/>
        </w:rPr>
      </w:pPr>
      <w:r w:rsidRPr="007328EB">
        <w:rPr>
          <w:rFonts w:ascii="Georgia" w:eastAsia="Times New Roman" w:hAnsi="Georgia" w:cs="Times New Roman"/>
          <w:color w:val="3D3D3D"/>
          <w:sz w:val="16"/>
          <w:szCs w:val="16"/>
          <w:lang w:eastAsia="fr-CH"/>
        </w:rPr>
        <w:t>© CTA</w:t>
      </w:r>
    </w:p>
    <w:p w:rsidR="007328EB" w:rsidRPr="007328EB" w:rsidRDefault="007328EB" w:rsidP="00696659">
      <w:pPr>
        <w:shd w:val="clear" w:color="auto" w:fill="FFFFFF"/>
        <w:spacing w:before="450" w:after="0" w:line="240" w:lineRule="auto"/>
        <w:jc w:val="both"/>
        <w:outlineLvl w:val="2"/>
        <w:rPr>
          <w:rFonts w:ascii="Arial" w:eastAsia="Times New Roman" w:hAnsi="Arial" w:cs="Arial"/>
          <w:b/>
          <w:bCs/>
          <w:color w:val="3D3D3D"/>
          <w:sz w:val="21"/>
          <w:szCs w:val="21"/>
          <w:lang w:eastAsia="fr-CH"/>
        </w:rPr>
      </w:pPr>
      <w:r w:rsidRPr="007328EB">
        <w:rPr>
          <w:rFonts w:ascii="Arial" w:eastAsia="Times New Roman" w:hAnsi="Arial" w:cs="Arial"/>
          <w:b/>
          <w:bCs/>
          <w:color w:val="3D3D3D"/>
          <w:sz w:val="21"/>
          <w:szCs w:val="21"/>
          <w:lang w:eastAsia="fr-CH"/>
        </w:rPr>
        <w:t>La vulgarisation par vidéo à l’échelle des villages</w:t>
      </w:r>
    </w:p>
    <w:p w:rsidR="007328EB" w:rsidRPr="007328EB" w:rsidRDefault="007328EB" w:rsidP="00696659">
      <w:pPr>
        <w:shd w:val="clear" w:color="auto" w:fill="FFFFFF"/>
        <w:spacing w:before="36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Selon le bureau éthiopien de l’Institut international de recherche sur les politiques alimentaires (IFPRI), la vidéo, lorsqu’elle est utilisée pour la vulgarisation agricole, touche 24 % d’agriculteurs en plus que d’autres formes de vulgarisation, et les agents qui s’en servent font davantage d’efforts pour visiter les fermes et fournir conseils et suivi.</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 xml:space="preserve">“Cette étude de l’IFPRI a débouché sur le développement de notre approche par vidéo, dont une évaluation contrôlée a montré qu’elle était sept fois plus efficace sur le plan de l’adoption de nouvelles pratiques et dix fois plus au regard du coût par adoption”, explique Rikin Gandhi, </w:t>
      </w:r>
      <w:r w:rsidRPr="007328EB">
        <w:rPr>
          <w:rFonts w:ascii="Georgia" w:eastAsia="Times New Roman" w:hAnsi="Georgia" w:cs="Times New Roman"/>
          <w:color w:val="3D3D3D"/>
          <w:sz w:val="21"/>
          <w:szCs w:val="21"/>
          <w:lang w:eastAsia="fr-CH"/>
        </w:rPr>
        <w:lastRenderedPageBreak/>
        <w:t>directeur exécutif de Digital Green, une entreprise créée en 2008 en Inde, sans but lucratif, pour travailler avec les petits agriculteurs. En 2011, l’organisation a commencé à œuvrer en Éthiopie avec le système national de vulgarisation du ministère de l’Agriculture, où plus de 60 000 agents de vulgarisation sont chargés de toucher 60 millions d’agriculteurs.</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Les vidéos de Digital Green présentent des membres de communautés locales partageant des témoignages ou démontrant une pratique. “En permettant aux membres des communautés rurales de jouer un rôle actif dans la création et la définition des contenus, Digital Green donne voix au chapitre aux communautés, même isolées”, ajoute Rikin Gandhi. Les agents de vulgarisation attachés aux villages (formés par Digital Green) montrent les vidéos à des groupes de 20-25 agriculteurs grâce à des projecteurs portables à batterie. Des médiateurs organisent les projections, invitent les participants à discuter, répondent aux questions, recueillent les commentaires et encouragent la communauté à adopter la pratique présentée.</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L’analyse de données et commentaires des participants fournit des informations pour la production et la distribution de la prochaine série de vidéos. Cela permet de progressivement mieux répondre aux besoins des communautés.</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Les vidéos restent au cœur de l’approche de vulgarisation de Digital Green, mais l’entreprise explore maintenant des solutions fondées sur des applications mobiles pour relier les agriculteurs aux marchés, ainsi que des formations et systèmes d’assurance qualité aussi basés sur des applications mobiles pour les vulgarisateurs. “Nous incorporons des technologies numériques comme les systèmes interactifs de réponse vocale et les SMS pour envoyer des messages complémentaires ou de renforcement”, explique Rikin Gandhi.</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Depuis 2009, Digital Green a permis la production de plus de 6 000 vidéos dans 50 langues et dialectes en Éthiopie, qui ont été visionnées par 17 000 intervenants de première ligne et ont touché plus de deux millions de ménages ruraux.</w:t>
      </w:r>
    </w:p>
    <w:p w:rsidR="007328EB" w:rsidRPr="007328EB" w:rsidRDefault="007328EB" w:rsidP="00696659">
      <w:pPr>
        <w:shd w:val="clear" w:color="auto" w:fill="FFFFFF"/>
        <w:spacing w:before="720" w:after="0" w:line="240" w:lineRule="auto"/>
        <w:jc w:val="both"/>
        <w:outlineLvl w:val="2"/>
        <w:rPr>
          <w:rFonts w:ascii="Arial" w:eastAsia="Times New Roman" w:hAnsi="Arial" w:cs="Arial"/>
          <w:b/>
          <w:bCs/>
          <w:color w:val="3D3D3D"/>
          <w:sz w:val="21"/>
          <w:szCs w:val="21"/>
          <w:lang w:eastAsia="fr-CH"/>
        </w:rPr>
      </w:pPr>
      <w:r w:rsidRPr="007328EB">
        <w:rPr>
          <w:rFonts w:ascii="Arial" w:eastAsia="Times New Roman" w:hAnsi="Arial" w:cs="Arial"/>
          <w:b/>
          <w:bCs/>
          <w:color w:val="3D3D3D"/>
          <w:sz w:val="21"/>
          <w:szCs w:val="21"/>
          <w:lang w:eastAsia="fr-CH"/>
        </w:rPr>
        <w:t>Toucher les agriculteurs par radio</w:t>
      </w:r>
    </w:p>
    <w:p w:rsidR="007328EB" w:rsidRPr="007328EB" w:rsidRDefault="007328EB" w:rsidP="00696659">
      <w:pPr>
        <w:shd w:val="clear" w:color="auto" w:fill="FFFFFF"/>
        <w:spacing w:before="36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La radio est un moyen facilement accessible et abordable de pratiquer la vulgarisation agricole, mais qui vise à diffuser massivement l’information, pas nécessairement dans les langues minoritaires. La Fondation Syngenta pour une agriculture durable (SFSA) a donc développé un partenariat novateur avec Kilimo Media International (KiMI), au Kenya. “Diffuser en swahili est insuffisant”, reconnaît Paul Castle, directeur des communications pour la SFSA, “c’est pourquoi la SFSA a décidé d’émettre les conseils agricoles au Kenya dans les langues vernaculaires (borana, kimeru, kikamba, kimaasai et kikuyu).” Paul Castle poursuit</w:t>
      </w:r>
      <w:r w:rsidRPr="007328EB">
        <w:rPr>
          <w:rFonts w:ascii="Times New Roman" w:eastAsia="Times New Roman" w:hAnsi="Times New Roman" w:cs="Times New Roman"/>
          <w:color w:val="3D3D3D"/>
          <w:sz w:val="21"/>
          <w:szCs w:val="21"/>
          <w:lang w:eastAsia="fr-CH"/>
        </w:rPr>
        <w:t> </w:t>
      </w:r>
      <w:r w:rsidRPr="007328EB">
        <w:rPr>
          <w:rFonts w:ascii="Georgia" w:eastAsia="Times New Roman" w:hAnsi="Georgia" w:cs="Times New Roman"/>
          <w:color w:val="3D3D3D"/>
          <w:sz w:val="21"/>
          <w:szCs w:val="21"/>
          <w:lang w:eastAsia="fr-CH"/>
        </w:rPr>
        <w:t xml:space="preserve">: </w:t>
      </w:r>
      <w:r w:rsidRPr="007328EB">
        <w:rPr>
          <w:rFonts w:ascii="Georgia" w:eastAsia="Times New Roman" w:hAnsi="Georgia" w:cs="Georgia"/>
          <w:color w:val="3D3D3D"/>
          <w:sz w:val="21"/>
          <w:szCs w:val="21"/>
          <w:lang w:eastAsia="fr-CH"/>
        </w:rPr>
        <w:t>“</w:t>
      </w:r>
      <w:r w:rsidRPr="007328EB">
        <w:rPr>
          <w:rFonts w:ascii="Georgia" w:eastAsia="Times New Roman" w:hAnsi="Georgia" w:cs="Times New Roman"/>
          <w:color w:val="3D3D3D"/>
          <w:sz w:val="21"/>
          <w:szCs w:val="21"/>
          <w:lang w:eastAsia="fr-CH"/>
        </w:rPr>
        <w:t>Il n</w:t>
      </w:r>
      <w:r w:rsidRPr="007328EB">
        <w:rPr>
          <w:rFonts w:ascii="Georgia" w:eastAsia="Times New Roman" w:hAnsi="Georgia" w:cs="Georgia"/>
          <w:color w:val="3D3D3D"/>
          <w:sz w:val="21"/>
          <w:szCs w:val="21"/>
          <w:lang w:eastAsia="fr-CH"/>
        </w:rPr>
        <w:t>’</w:t>
      </w:r>
      <w:r w:rsidRPr="007328EB">
        <w:rPr>
          <w:rFonts w:ascii="Georgia" w:eastAsia="Times New Roman" w:hAnsi="Georgia" w:cs="Times New Roman"/>
          <w:color w:val="3D3D3D"/>
          <w:sz w:val="21"/>
          <w:szCs w:val="21"/>
          <w:lang w:eastAsia="fr-CH"/>
        </w:rPr>
        <w:t>est pas n</w:t>
      </w:r>
      <w:r w:rsidRPr="007328EB">
        <w:rPr>
          <w:rFonts w:ascii="Georgia" w:eastAsia="Times New Roman" w:hAnsi="Georgia" w:cs="Georgia"/>
          <w:color w:val="3D3D3D"/>
          <w:sz w:val="21"/>
          <w:szCs w:val="21"/>
          <w:lang w:eastAsia="fr-CH"/>
        </w:rPr>
        <w:t>é</w:t>
      </w:r>
      <w:r w:rsidRPr="007328EB">
        <w:rPr>
          <w:rFonts w:ascii="Georgia" w:eastAsia="Times New Roman" w:hAnsi="Georgia" w:cs="Times New Roman"/>
          <w:color w:val="3D3D3D"/>
          <w:sz w:val="21"/>
          <w:szCs w:val="21"/>
          <w:lang w:eastAsia="fr-CH"/>
        </w:rPr>
        <w:t xml:space="preserve">cessaire de savoir lire et </w:t>
      </w:r>
      <w:r w:rsidRPr="007328EB">
        <w:rPr>
          <w:rFonts w:ascii="Georgia" w:eastAsia="Times New Roman" w:hAnsi="Georgia" w:cs="Georgia"/>
          <w:color w:val="3D3D3D"/>
          <w:sz w:val="21"/>
          <w:szCs w:val="21"/>
          <w:lang w:eastAsia="fr-CH"/>
        </w:rPr>
        <w:t>é</w:t>
      </w:r>
      <w:r w:rsidRPr="007328EB">
        <w:rPr>
          <w:rFonts w:ascii="Georgia" w:eastAsia="Times New Roman" w:hAnsi="Georgia" w:cs="Times New Roman"/>
          <w:color w:val="3D3D3D"/>
          <w:sz w:val="21"/>
          <w:szCs w:val="21"/>
          <w:lang w:eastAsia="fr-CH"/>
        </w:rPr>
        <w:t>crire ni d</w:t>
      </w:r>
      <w:r w:rsidRPr="007328EB">
        <w:rPr>
          <w:rFonts w:ascii="Georgia" w:eastAsia="Times New Roman" w:hAnsi="Georgia" w:cs="Georgia"/>
          <w:color w:val="3D3D3D"/>
          <w:sz w:val="21"/>
          <w:szCs w:val="21"/>
          <w:lang w:eastAsia="fr-CH"/>
        </w:rPr>
        <w:t>’</w:t>
      </w:r>
      <w:r w:rsidRPr="007328EB">
        <w:rPr>
          <w:rFonts w:ascii="Georgia" w:eastAsia="Times New Roman" w:hAnsi="Georgia" w:cs="Times New Roman"/>
          <w:color w:val="3D3D3D"/>
          <w:sz w:val="21"/>
          <w:szCs w:val="21"/>
          <w:lang w:eastAsia="fr-CH"/>
        </w:rPr>
        <w:t>avoir une connexion Internet ou une t</w:t>
      </w:r>
      <w:r w:rsidRPr="007328EB">
        <w:rPr>
          <w:rFonts w:ascii="Georgia" w:eastAsia="Times New Roman" w:hAnsi="Georgia" w:cs="Georgia"/>
          <w:color w:val="3D3D3D"/>
          <w:sz w:val="21"/>
          <w:szCs w:val="21"/>
          <w:lang w:eastAsia="fr-CH"/>
        </w:rPr>
        <w:t>é</w:t>
      </w:r>
      <w:r w:rsidRPr="007328EB">
        <w:rPr>
          <w:rFonts w:ascii="Georgia" w:eastAsia="Times New Roman" w:hAnsi="Georgia" w:cs="Times New Roman"/>
          <w:color w:val="3D3D3D"/>
          <w:sz w:val="21"/>
          <w:szCs w:val="21"/>
          <w:lang w:eastAsia="fr-CH"/>
        </w:rPr>
        <w:t>l</w:t>
      </w:r>
      <w:r w:rsidRPr="007328EB">
        <w:rPr>
          <w:rFonts w:ascii="Georgia" w:eastAsia="Times New Roman" w:hAnsi="Georgia" w:cs="Georgia"/>
          <w:color w:val="3D3D3D"/>
          <w:sz w:val="21"/>
          <w:szCs w:val="21"/>
          <w:lang w:eastAsia="fr-CH"/>
        </w:rPr>
        <w:t>é</w:t>
      </w:r>
      <w:r w:rsidRPr="007328EB">
        <w:rPr>
          <w:rFonts w:ascii="Georgia" w:eastAsia="Times New Roman" w:hAnsi="Georgia" w:cs="Times New Roman"/>
          <w:color w:val="3D3D3D"/>
          <w:sz w:val="21"/>
          <w:szCs w:val="21"/>
          <w:lang w:eastAsia="fr-CH"/>
        </w:rPr>
        <w:t>vision. Gr</w:t>
      </w:r>
      <w:r w:rsidRPr="007328EB">
        <w:rPr>
          <w:rFonts w:ascii="Georgia" w:eastAsia="Times New Roman" w:hAnsi="Georgia" w:cs="Georgia"/>
          <w:color w:val="3D3D3D"/>
          <w:sz w:val="21"/>
          <w:szCs w:val="21"/>
          <w:lang w:eastAsia="fr-CH"/>
        </w:rPr>
        <w:t>â</w:t>
      </w:r>
      <w:r w:rsidRPr="007328EB">
        <w:rPr>
          <w:rFonts w:ascii="Georgia" w:eastAsia="Times New Roman" w:hAnsi="Georgia" w:cs="Times New Roman"/>
          <w:color w:val="3D3D3D"/>
          <w:sz w:val="21"/>
          <w:szCs w:val="21"/>
          <w:lang w:eastAsia="fr-CH"/>
        </w:rPr>
        <w:t>ce aux t</w:t>
      </w:r>
      <w:r w:rsidRPr="007328EB">
        <w:rPr>
          <w:rFonts w:ascii="Georgia" w:eastAsia="Times New Roman" w:hAnsi="Georgia" w:cs="Georgia"/>
          <w:color w:val="3D3D3D"/>
          <w:sz w:val="21"/>
          <w:szCs w:val="21"/>
          <w:lang w:eastAsia="fr-CH"/>
        </w:rPr>
        <w:t>é</w:t>
      </w:r>
      <w:r w:rsidRPr="007328EB">
        <w:rPr>
          <w:rFonts w:ascii="Georgia" w:eastAsia="Times New Roman" w:hAnsi="Georgia" w:cs="Times New Roman"/>
          <w:color w:val="3D3D3D"/>
          <w:sz w:val="21"/>
          <w:szCs w:val="21"/>
          <w:lang w:eastAsia="fr-CH"/>
        </w:rPr>
        <w:t>l</w:t>
      </w:r>
      <w:r w:rsidRPr="007328EB">
        <w:rPr>
          <w:rFonts w:ascii="Georgia" w:eastAsia="Times New Roman" w:hAnsi="Georgia" w:cs="Georgia"/>
          <w:color w:val="3D3D3D"/>
          <w:sz w:val="21"/>
          <w:szCs w:val="21"/>
          <w:lang w:eastAsia="fr-CH"/>
        </w:rPr>
        <w:t>é</w:t>
      </w:r>
      <w:r w:rsidRPr="007328EB">
        <w:rPr>
          <w:rFonts w:ascii="Georgia" w:eastAsia="Times New Roman" w:hAnsi="Georgia" w:cs="Times New Roman"/>
          <w:color w:val="3D3D3D"/>
          <w:sz w:val="21"/>
          <w:szCs w:val="21"/>
          <w:lang w:eastAsia="fr-CH"/>
        </w:rPr>
        <w:t>phones portables, la radio est devenue beaucoup plus d</w:t>
      </w:r>
      <w:r w:rsidRPr="007328EB">
        <w:rPr>
          <w:rFonts w:ascii="Georgia" w:eastAsia="Times New Roman" w:hAnsi="Georgia" w:cs="Georgia"/>
          <w:color w:val="3D3D3D"/>
          <w:sz w:val="21"/>
          <w:szCs w:val="21"/>
          <w:lang w:eastAsia="fr-CH"/>
        </w:rPr>
        <w:t>é</w:t>
      </w:r>
      <w:r w:rsidRPr="007328EB">
        <w:rPr>
          <w:rFonts w:ascii="Georgia" w:eastAsia="Times New Roman" w:hAnsi="Georgia" w:cs="Times New Roman"/>
          <w:color w:val="3D3D3D"/>
          <w:sz w:val="21"/>
          <w:szCs w:val="21"/>
          <w:lang w:eastAsia="fr-CH"/>
        </w:rPr>
        <w:t>mocratique. Les auditeurs peuvent envoyer des messages de leurs portables et les agents de vulgarisation agricole avec qui nous travaillons en conviennent</w:t>
      </w:r>
      <w:r w:rsidRPr="007328EB">
        <w:rPr>
          <w:rFonts w:ascii="Times New Roman" w:eastAsia="Times New Roman" w:hAnsi="Times New Roman" w:cs="Times New Roman"/>
          <w:color w:val="3D3D3D"/>
          <w:sz w:val="21"/>
          <w:szCs w:val="21"/>
          <w:lang w:eastAsia="fr-CH"/>
        </w:rPr>
        <w:t> </w:t>
      </w:r>
      <w:r w:rsidRPr="007328EB">
        <w:rPr>
          <w:rFonts w:ascii="Georgia" w:eastAsia="Times New Roman" w:hAnsi="Georgia" w:cs="Times New Roman"/>
          <w:color w:val="3D3D3D"/>
          <w:sz w:val="21"/>
          <w:szCs w:val="21"/>
          <w:lang w:eastAsia="fr-CH"/>
        </w:rPr>
        <w:t>: cela leur permet de toucher un public plus large.</w:t>
      </w:r>
      <w:r w:rsidRPr="007328EB">
        <w:rPr>
          <w:rFonts w:ascii="Georgia" w:eastAsia="Times New Roman" w:hAnsi="Georgia" w:cs="Georgia"/>
          <w:color w:val="3D3D3D"/>
          <w:sz w:val="21"/>
          <w:szCs w:val="21"/>
          <w:lang w:eastAsia="fr-CH"/>
        </w:rPr>
        <w:t>”</w:t>
      </w:r>
    </w:p>
    <w:p w:rsidR="007328EB" w:rsidRPr="007328EB" w:rsidRDefault="007328EB" w:rsidP="00696659">
      <w:pPr>
        <w:shd w:val="clear" w:color="auto" w:fill="FFFFFF"/>
        <w:spacing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noProof/>
          <w:color w:val="3D3D3D"/>
          <w:sz w:val="21"/>
          <w:szCs w:val="21"/>
          <w:lang w:eastAsia="fr-CH"/>
        </w:rPr>
        <w:drawing>
          <wp:inline distT="0" distB="0" distL="0" distR="0">
            <wp:extent cx="3048000" cy="2032000"/>
            <wp:effectExtent l="0" t="0" r="0" b="6350"/>
            <wp:docPr id="2" name="Image 2" descr="Avec une approche interactive intégrant la radio, les portables et les applis, Farm Radio International fournit des informations fiables pour améliorer les pratiques agric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ec une approche interactive intégrant la radio, les portables et les applis, Farm Radio International fournit des informations fiables pour améliorer les pratiques agrico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rsidR="007328EB" w:rsidRPr="007328EB" w:rsidRDefault="007328EB" w:rsidP="00696659">
      <w:pPr>
        <w:shd w:val="clear" w:color="auto" w:fill="FFFFFF"/>
        <w:spacing w:after="0" w:line="240" w:lineRule="auto"/>
        <w:jc w:val="both"/>
        <w:rPr>
          <w:rFonts w:ascii="Arial" w:eastAsia="Times New Roman" w:hAnsi="Arial" w:cs="Arial"/>
          <w:color w:val="3D3D3D"/>
          <w:sz w:val="18"/>
          <w:szCs w:val="18"/>
          <w:lang w:eastAsia="fr-CH"/>
        </w:rPr>
      </w:pPr>
      <w:r w:rsidRPr="007328EB">
        <w:rPr>
          <w:rFonts w:ascii="Arial" w:eastAsia="Times New Roman" w:hAnsi="Arial" w:cs="Arial"/>
          <w:color w:val="3D3D3D"/>
          <w:sz w:val="18"/>
          <w:szCs w:val="18"/>
          <w:lang w:eastAsia="fr-CH"/>
        </w:rPr>
        <w:lastRenderedPageBreak/>
        <w:t>Avec une approche interactive intégrant la radio, les portables et les applis, Farm Radio International fournit des informations fiables pour améliorer les pratiques agricoles.</w:t>
      </w:r>
    </w:p>
    <w:p w:rsidR="007328EB" w:rsidRPr="007328EB" w:rsidRDefault="007328EB" w:rsidP="00696659">
      <w:pPr>
        <w:shd w:val="clear" w:color="auto" w:fill="FFFFFF"/>
        <w:spacing w:after="0" w:line="240" w:lineRule="auto"/>
        <w:jc w:val="both"/>
        <w:rPr>
          <w:rFonts w:ascii="Georgia" w:eastAsia="Times New Roman" w:hAnsi="Georgia" w:cs="Times New Roman"/>
          <w:color w:val="3D3D3D"/>
          <w:sz w:val="16"/>
          <w:szCs w:val="16"/>
          <w:lang w:eastAsia="fr-CH"/>
        </w:rPr>
      </w:pPr>
      <w:r w:rsidRPr="007328EB">
        <w:rPr>
          <w:rFonts w:ascii="Georgia" w:eastAsia="Times New Roman" w:hAnsi="Georgia" w:cs="Times New Roman"/>
          <w:color w:val="3D3D3D"/>
          <w:sz w:val="16"/>
          <w:szCs w:val="16"/>
          <w:lang w:eastAsia="fr-CH"/>
        </w:rPr>
        <w:t>© Farm Radio International</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Pour permettre aux agriculteurs de poser des questions, la SFSA a aussi créé des groupes d’auditeurs qui se réunissent autour d’un agent de vulgarisation après la diffusion d’un programme radio. Des réunions de planification sont également organisées avec des agents de vulgarisation et d’autres experts agricoles. “Ces stations définissent généralement leurs propres calendriers agricoles mais doivent aussi réagir avec souplesse en cas de menaces soudaines, comme une sécheresse. De cette manière, la radio peut être novatrice et avoir un véritable impact”, note Paul Castle.</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Le nombre d’auditeurs appelant lors des émissions de radio a augmenté de 0,03 à 29 % et l’audience est passée de 59 à 96 % en trois ans. Les petites stations ont touché un public beaucoup plus large que prévu par la SFSA : “Parce qu’elles diffusent en langues parlées des deux côtés des frontières, il y a des gens qui les écoutent par Internet en Ouganda et jusqu’au sud de l’Éthiopie”, se félicite Paul Castle.</w:t>
      </w:r>
    </w:p>
    <w:p w:rsidR="007328EB" w:rsidRPr="007328EB" w:rsidRDefault="007328EB" w:rsidP="00696659">
      <w:pPr>
        <w:shd w:val="clear" w:color="auto" w:fill="FFFFFF"/>
        <w:spacing w:before="720" w:after="0" w:line="240" w:lineRule="auto"/>
        <w:jc w:val="both"/>
        <w:outlineLvl w:val="2"/>
        <w:rPr>
          <w:rFonts w:ascii="Arial" w:eastAsia="Times New Roman" w:hAnsi="Arial" w:cs="Arial"/>
          <w:b/>
          <w:bCs/>
          <w:color w:val="3D3D3D"/>
          <w:sz w:val="21"/>
          <w:szCs w:val="21"/>
          <w:lang w:eastAsia="fr-CH"/>
        </w:rPr>
      </w:pPr>
      <w:r w:rsidRPr="007328EB">
        <w:rPr>
          <w:rFonts w:ascii="Arial" w:eastAsia="Times New Roman" w:hAnsi="Arial" w:cs="Arial"/>
          <w:b/>
          <w:bCs/>
          <w:color w:val="3D3D3D"/>
          <w:sz w:val="21"/>
          <w:szCs w:val="21"/>
          <w:lang w:eastAsia="fr-CH"/>
        </w:rPr>
        <w:t>Passer à la téléphonie mobile</w:t>
      </w:r>
    </w:p>
    <w:p w:rsidR="007328EB" w:rsidRPr="007328EB" w:rsidRDefault="007328EB" w:rsidP="00696659">
      <w:pPr>
        <w:shd w:val="clear" w:color="auto" w:fill="FFFFFF"/>
        <w:spacing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La téléphonie mobile joue aussi un rôle crucial. Pourtant, selon une étude de 2018 du </w:t>
      </w:r>
      <w:hyperlink r:id="rId7" w:tgtFrame="_blank" w:history="1">
        <w:r w:rsidRPr="007328EB">
          <w:rPr>
            <w:rFonts w:ascii="Georgia" w:eastAsia="Times New Roman" w:hAnsi="Georgia" w:cs="Times New Roman"/>
            <w:color w:val="527440"/>
            <w:sz w:val="21"/>
            <w:szCs w:val="21"/>
            <w:lang w:eastAsia="fr-CH"/>
          </w:rPr>
          <w:t>Pew Research Centre</w:t>
        </w:r>
      </w:hyperlink>
      <w:r w:rsidRPr="007328EB">
        <w:rPr>
          <w:rFonts w:ascii="Georgia" w:eastAsia="Times New Roman" w:hAnsi="Georgia" w:cs="Times New Roman"/>
          <w:color w:val="3D3D3D"/>
          <w:sz w:val="21"/>
          <w:szCs w:val="21"/>
          <w:lang w:eastAsia="fr-CH"/>
        </w:rPr>
        <w:t>, l’Afrique subsaharienne a toujours les taux les plus faibles de pénétration des smartphones par rapport au reste du monde. La connectivité reste un obstacle pour que les entreprises puissent utiliser des applications mobiles afin de développer les services de vulgarisation agricole.</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En Afrique subsaharienne, le nombre de ménages cultivant du riz pluvial et irrigué en plaine est estimé à environ 4,7 millions, mais la productivité rizicole est faible à cause des pratiques sous-optimales de gestion des cultures des petits agriculteurs. RiceAdvice est une application bilingue sous Android permettant aux ONG, agents de vulgarisation et petits agriculteurs du Mali, Nigeria et Sénégal d’accéder directement à des recommandations adaptées à des champs particuliers. En plus de fournir des informations importantes en début de saison, RiceAdvice indique aussi les pratiques saisonnières essentielles (application d’engrais et désherbage). Comme de nombreux riziculteurs n’ont pas de smartphone, les agents de vulgarisation agricole (et aussi souvent des cultivateurs) leur offrent les recommandations de RiceAdvice après avoir saisi des informations détaillées telles que conditions de culture du riz, variétés, pratiques types, dates prévues d’ensemencement, disponibilité des engrais, cours des marchés.</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“Il est relativement facile de saisir les données car les questions sont formulées de manière à ce qu’il soit facile d’y répondre. Une fois les informations fournies, les agents de vulgarisation peuvent aider les petits riziculteurs à se fixer des objectifs de rendement en fonction de leur budget ou des niveaux de productions désirés/recommandés. Lorsque les agriculteurs sont habitués à leurs smartphones et savent utiliser RiceAdvice, ils ont directement accès à des recommandations adaptées à leurs champs”, explique le Dr Kazuki Saito, agronome pour AfricaRice.</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RiceAdvice se fonde sur les informations de bases de données issues de recherches, reformulées sous une forme utile et accessible pour les agriculteurs. Ces données sont recueillies par des interviews en personne et des enquêtes post-récolte, dont les résultats servent à améliorer l’application. De nouvelles consignes de riziculture sont proposées chaque saison pour que l’information fournie reste aussi exacte que possible. Ainsi, bien que l’application puisse être utilisée hors ligne, l’accès à Internet est indispensable pour recevoir les mises à jour régulières.</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“Les riziculteurs ont reçu des recommandations traditionnelles générales sur les pratiques de gestion de la fertilité des sols. Toutefois, ces recommandations n’ont pas été régulièrement mises à jour et ont par conséquent été rapidement dépassées”, constate Kazuki Saito. Au cours d’un essai effectué au Mali, Nigeria et Sénégal en 2015-1017, les agriculteurs ayant utilisé l’application RiceAdvice ont obtenu des augmentations moyennes du rendement de 0,6 à 1,8 tonne par hectare.</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lastRenderedPageBreak/>
        <w:t>“Les études d’AfricaRice ont indiqué qu’en comparaison avec les pratiques des agriculteurs l’adoption des recommandations de RiceAdvice peut faire croître d’environ 20 % les rendements rizicoles, ce qui procure une augmentation de la profitabilité d’environ 200 $ US (180 €) par hectare et par saison”, conclut Kazuki Saito. RiceAdvice touche environ 10 000 agriculteurs chaque saison.</w:t>
      </w:r>
    </w:p>
    <w:p w:rsidR="007328EB" w:rsidRPr="007328EB" w:rsidRDefault="007328EB" w:rsidP="00696659">
      <w:pPr>
        <w:shd w:val="clear" w:color="auto" w:fill="FFFFFF"/>
        <w:spacing w:before="720" w:after="0" w:line="240" w:lineRule="auto"/>
        <w:jc w:val="both"/>
        <w:outlineLvl w:val="2"/>
        <w:rPr>
          <w:rFonts w:ascii="Arial" w:eastAsia="Times New Roman" w:hAnsi="Arial" w:cs="Arial"/>
          <w:b/>
          <w:bCs/>
          <w:color w:val="3D3D3D"/>
          <w:sz w:val="21"/>
          <w:szCs w:val="21"/>
          <w:lang w:eastAsia="fr-CH"/>
        </w:rPr>
      </w:pPr>
      <w:r w:rsidRPr="007328EB">
        <w:rPr>
          <w:rFonts w:ascii="Arial" w:eastAsia="Times New Roman" w:hAnsi="Arial" w:cs="Arial"/>
          <w:b/>
          <w:bCs/>
          <w:color w:val="3D3D3D"/>
          <w:sz w:val="21"/>
          <w:szCs w:val="21"/>
          <w:lang w:eastAsia="fr-CH"/>
        </w:rPr>
        <w:t>Miser sur le renforcement des capacités</w:t>
      </w:r>
    </w:p>
    <w:p w:rsidR="007328EB" w:rsidRPr="007328EB" w:rsidRDefault="007328EB" w:rsidP="00696659">
      <w:pPr>
        <w:shd w:val="clear" w:color="auto" w:fill="FFFFFF"/>
        <w:spacing w:before="36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L’amélioration de la vulgarisation agricole par la formation, en personne ou par voie numérique, est l’objectif vers lequel travaille un service de fourniture de produits frais, Ojay Greene. Fondée par Yvette Ondachi, une scientifique kényane, cette entreprise s’est fixé pour mission d’augmenter les revenus des petits agriculteurs grâce à des interventions portant sur la nutrition et des technologies d’adaptation au changement climatique.</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Ojay Greene produit et collecte des fruits et légumes frais auprès de petits agriculteurs pour les vendre à des supermarchés, restaurants et hôtels des zones urbaines. L’entreprise élimine les intermédiaires en fournissant aux petits fermiers un marché pour leurs produits, ainsi que des technologies et stratégies pour améliorer leur production. Ils sont répartis en groupes de 10-200 agriculteurs par quartier ou communauté, avec un agronome référent. Celui-ci organise des réunions communautaires, communique par SMS avec les agriculteurs au sujet de leur production, des intrants et de la lutte contre les maladies. “Il ne s’agit pas juste d’enrichir la communauté, il faut enrichir le continent, changer le paysage de l’Afrique subsaharienne et nourrir le monde”, affirme Yvette Ondachi. D’ici 2020, Ojay Greene espère toucher 20 000 fermes dans tout le Kenya et envisage de se développer dans les pays voisins.</w:t>
      </w:r>
    </w:p>
    <w:p w:rsidR="007328EB" w:rsidRPr="007328EB" w:rsidRDefault="007328EB" w:rsidP="00696659">
      <w:pPr>
        <w:shd w:val="clear" w:color="auto" w:fill="FFFFFF"/>
        <w:spacing w:before="720" w:after="0" w:line="240" w:lineRule="auto"/>
        <w:jc w:val="both"/>
        <w:outlineLvl w:val="2"/>
        <w:rPr>
          <w:rFonts w:ascii="Arial" w:eastAsia="Times New Roman" w:hAnsi="Arial" w:cs="Arial"/>
          <w:b/>
          <w:bCs/>
          <w:color w:val="3D3D3D"/>
          <w:sz w:val="21"/>
          <w:szCs w:val="21"/>
          <w:lang w:eastAsia="fr-CH"/>
        </w:rPr>
      </w:pPr>
      <w:r w:rsidRPr="007328EB">
        <w:rPr>
          <w:rFonts w:ascii="Arial" w:eastAsia="Times New Roman" w:hAnsi="Arial" w:cs="Arial"/>
          <w:b/>
          <w:bCs/>
          <w:color w:val="3D3D3D"/>
          <w:sz w:val="21"/>
          <w:szCs w:val="21"/>
          <w:lang w:eastAsia="fr-CH"/>
        </w:rPr>
        <w:t>La vulgarisation au niveau national</w:t>
      </w:r>
    </w:p>
    <w:p w:rsidR="007328EB" w:rsidRPr="007328EB" w:rsidRDefault="007328EB" w:rsidP="00696659">
      <w:pPr>
        <w:shd w:val="clear" w:color="auto" w:fill="FFFFFF"/>
        <w:spacing w:before="36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Au Ghana, où plus de 59 % de la force de travail du pays est impliquée d’une manière ou d’une autre dans l’agriculture, ce secteur est prometteur pour la croissance de l’économie. Néanmoins, l’un des plus gros défis auxquels le pays est confronté est l’éducation des petits agriculteurs. Le Ghana a instauré en 2011 un système national d’e-agriculture mis en place par le ministère de l’Alimentation et de l’Agriculture. Cette plateforme permet aux agriculteurs, transformateurs et autres intervenants d’échanger leurs opinions et ressources.</w:t>
      </w:r>
      <w:r w:rsidRPr="007328EB">
        <w:rPr>
          <w:rFonts w:ascii="Times New Roman" w:eastAsia="Times New Roman" w:hAnsi="Times New Roman" w:cs="Times New Roman"/>
          <w:color w:val="3D3D3D"/>
          <w:sz w:val="21"/>
          <w:szCs w:val="21"/>
          <w:lang w:eastAsia="fr-CH"/>
        </w:rPr>
        <w:t> </w:t>
      </w:r>
      <w:r w:rsidRPr="007328EB">
        <w:rPr>
          <w:rFonts w:ascii="Georgia" w:eastAsia="Times New Roman" w:hAnsi="Georgia" w:cs="Times New Roman"/>
          <w:color w:val="3D3D3D"/>
          <w:sz w:val="21"/>
          <w:szCs w:val="21"/>
          <w:lang w:eastAsia="fr-CH"/>
        </w:rPr>
        <w:t xml:space="preserve">Elle comporte trois </w:t>
      </w:r>
      <w:r w:rsidRPr="007328EB">
        <w:rPr>
          <w:rFonts w:ascii="Georgia" w:eastAsia="Times New Roman" w:hAnsi="Georgia" w:cs="Georgia"/>
          <w:color w:val="3D3D3D"/>
          <w:sz w:val="21"/>
          <w:szCs w:val="21"/>
          <w:lang w:eastAsia="fr-CH"/>
        </w:rPr>
        <w:t>é</w:t>
      </w:r>
      <w:r w:rsidRPr="007328EB">
        <w:rPr>
          <w:rFonts w:ascii="Georgia" w:eastAsia="Times New Roman" w:hAnsi="Georgia" w:cs="Times New Roman"/>
          <w:color w:val="3D3D3D"/>
          <w:sz w:val="21"/>
          <w:szCs w:val="21"/>
          <w:lang w:eastAsia="fr-CH"/>
        </w:rPr>
        <w:t>l</w:t>
      </w:r>
      <w:r w:rsidRPr="007328EB">
        <w:rPr>
          <w:rFonts w:ascii="Georgia" w:eastAsia="Times New Roman" w:hAnsi="Georgia" w:cs="Georgia"/>
          <w:color w:val="3D3D3D"/>
          <w:sz w:val="21"/>
          <w:szCs w:val="21"/>
          <w:lang w:eastAsia="fr-CH"/>
        </w:rPr>
        <w:t>é</w:t>
      </w:r>
      <w:r w:rsidRPr="007328EB">
        <w:rPr>
          <w:rFonts w:ascii="Georgia" w:eastAsia="Times New Roman" w:hAnsi="Georgia" w:cs="Times New Roman"/>
          <w:color w:val="3D3D3D"/>
          <w:sz w:val="21"/>
          <w:szCs w:val="21"/>
          <w:lang w:eastAsia="fr-CH"/>
        </w:rPr>
        <w:t xml:space="preserve">ments. Le premier </w:t>
      </w:r>
      <w:r w:rsidRPr="007328EB">
        <w:rPr>
          <w:rFonts w:ascii="Georgia" w:eastAsia="Times New Roman" w:hAnsi="Georgia" w:cs="Georgia"/>
          <w:color w:val="3D3D3D"/>
          <w:sz w:val="21"/>
          <w:szCs w:val="21"/>
          <w:lang w:eastAsia="fr-CH"/>
        </w:rPr>
        <w:t>–</w:t>
      </w:r>
      <w:r w:rsidRPr="007328EB">
        <w:rPr>
          <w:rFonts w:ascii="Georgia" w:eastAsia="Times New Roman" w:hAnsi="Georgia" w:cs="Times New Roman"/>
          <w:color w:val="3D3D3D"/>
          <w:sz w:val="21"/>
          <w:szCs w:val="21"/>
          <w:lang w:eastAsia="fr-CH"/>
        </w:rPr>
        <w:t xml:space="preserve"> e-Farm Information </w:t>
      </w:r>
      <w:r w:rsidRPr="007328EB">
        <w:rPr>
          <w:rFonts w:ascii="Georgia" w:eastAsia="Times New Roman" w:hAnsi="Georgia" w:cs="Georgia"/>
          <w:color w:val="3D3D3D"/>
          <w:sz w:val="21"/>
          <w:szCs w:val="21"/>
          <w:lang w:eastAsia="fr-CH"/>
        </w:rPr>
        <w:t>–</w:t>
      </w:r>
      <w:r w:rsidRPr="007328EB">
        <w:rPr>
          <w:rFonts w:ascii="Georgia" w:eastAsia="Times New Roman" w:hAnsi="Georgia" w:cs="Times New Roman"/>
          <w:color w:val="3D3D3D"/>
          <w:sz w:val="21"/>
          <w:szCs w:val="21"/>
          <w:lang w:eastAsia="fr-CH"/>
        </w:rPr>
        <w:t xml:space="preserve"> permet aux agriculteurs d</w:t>
      </w:r>
      <w:r w:rsidRPr="007328EB">
        <w:rPr>
          <w:rFonts w:ascii="Georgia" w:eastAsia="Times New Roman" w:hAnsi="Georgia" w:cs="Georgia"/>
          <w:color w:val="3D3D3D"/>
          <w:sz w:val="21"/>
          <w:szCs w:val="21"/>
          <w:lang w:eastAsia="fr-CH"/>
        </w:rPr>
        <w:t>’</w:t>
      </w:r>
      <w:r w:rsidRPr="007328EB">
        <w:rPr>
          <w:rFonts w:ascii="Georgia" w:eastAsia="Times New Roman" w:hAnsi="Georgia" w:cs="Times New Roman"/>
          <w:color w:val="3D3D3D"/>
          <w:sz w:val="21"/>
          <w:szCs w:val="21"/>
          <w:lang w:eastAsia="fr-CH"/>
        </w:rPr>
        <w:t>utiliser gratuitement le centre d’appels d’e-agriculture pour se renseigner en langue locale sur les meilleures pratiques agricoles. Ensuite, le e-Learning and Resource Centre offre des informations utiles à tous les acteurs de la chaîne de valeur agricole. Enfin, les agents de vulgarisation sont équipés d’outils numériques pour recueillir des données sur les exploitations et les agriculteurs et améliorer ainsi les conseils fournis à ces derniers.</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En Côte d'Ivoire, avec l’appui de la Banque mondiale, l’Agence nationale d’appui au développement rural a créé en 2018 un système électronique de services de vulgarisation agricole pour toucher le plus d’agriculteurs possible, même dans les zones isolées, afin d’améliorer la productivité des exploitations et l’accès aux marchés. La plateforme d’e-vulgarisation sert de serveur vocal de réponse interactive et de centre d’appels, permettant aux agriculteurs de poser des questions techniques et de demander conseil sur les pratiques agricoles. “Ce projet garantira que les agriculteurs reçoivent en temps opportun des informations sur les aspects cruciaux de la chaîne de valeur agricole, comme le marché des semences, et que les institutions publiques recueillent des statistiques agricoles et rurales permettant de définir des politiques et stratégies plus efficaces pour le secteur”, précise Pierre Laporte, directeur pays de la Banque mondiale pour la Côte d’Ivoire. L’initiative vise à toucher 6,1 millions de petits agriculteurs sur cinq ans. Comme dans de nombreux pays africains, la majorité des petits agriculteurs exploitent moins de 2 hectares de terre.</w:t>
      </w:r>
    </w:p>
    <w:p w:rsidR="007328EB" w:rsidRPr="007328EB" w:rsidRDefault="007328EB" w:rsidP="00696659">
      <w:pPr>
        <w:shd w:val="clear" w:color="auto" w:fill="FFFFFF"/>
        <w:spacing w:before="270"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lastRenderedPageBreak/>
        <w:t>“Avec l’expansion soutenue et rapide de la population africaine, la vulgarisation numérique est essentielle pour garantir la sécurité alimentaire”, souligne Marili Mouton. Grâce aux services de vulgarisation innovants, les petits agriculteurs africains adoptent des méthodes plus intelligentes et durables et continuent ainsi d’améliorer leurs pratiques.</w:t>
      </w:r>
    </w:p>
    <w:p w:rsidR="007328EB" w:rsidRPr="007328EB" w:rsidRDefault="007328EB" w:rsidP="00696659">
      <w:pPr>
        <w:shd w:val="clear" w:color="auto" w:fill="FFFFFF"/>
        <w:spacing w:before="720" w:after="0" w:line="240" w:lineRule="auto"/>
        <w:jc w:val="both"/>
        <w:outlineLvl w:val="2"/>
        <w:rPr>
          <w:rFonts w:ascii="Arial" w:eastAsia="Times New Roman" w:hAnsi="Arial" w:cs="Arial"/>
          <w:b/>
          <w:bCs/>
          <w:color w:val="3D3D3D"/>
          <w:sz w:val="21"/>
          <w:szCs w:val="21"/>
          <w:lang w:eastAsia="fr-CH"/>
        </w:rPr>
      </w:pPr>
      <w:bookmarkStart w:id="0" w:name="_GoBack"/>
      <w:bookmarkEnd w:id="0"/>
      <w:r w:rsidRPr="007328EB">
        <w:rPr>
          <w:rFonts w:ascii="Arial" w:eastAsia="Times New Roman" w:hAnsi="Arial" w:cs="Arial"/>
          <w:b/>
          <w:bCs/>
          <w:color w:val="3D3D3D"/>
          <w:sz w:val="21"/>
          <w:szCs w:val="21"/>
          <w:lang w:eastAsia="fr-CH"/>
        </w:rPr>
        <w:t>L’intégration numérique pour la vulgarisation par radio</w:t>
      </w:r>
    </w:p>
    <w:p w:rsidR="007328EB" w:rsidRPr="007328EB" w:rsidRDefault="007328EB" w:rsidP="00696659">
      <w:pPr>
        <w:shd w:val="clear" w:color="auto" w:fill="FFFFFF"/>
        <w:spacing w:after="0" w:line="240" w:lineRule="auto"/>
        <w:jc w:val="both"/>
        <w:rPr>
          <w:rFonts w:ascii="Georgia" w:eastAsia="Times New Roman" w:hAnsi="Georgia" w:cs="Times New Roman"/>
          <w:color w:val="3D3D3D"/>
          <w:sz w:val="21"/>
          <w:szCs w:val="21"/>
          <w:lang w:eastAsia="fr-CH"/>
        </w:rPr>
      </w:pPr>
      <w:r w:rsidRPr="007328EB">
        <w:rPr>
          <w:rFonts w:ascii="Georgia" w:eastAsia="Times New Roman" w:hAnsi="Georgia" w:cs="Times New Roman"/>
          <w:color w:val="3D3D3D"/>
          <w:sz w:val="21"/>
          <w:szCs w:val="21"/>
          <w:lang w:eastAsia="fr-CH"/>
        </w:rPr>
        <w:t>Farm Radio International (FRI) change la manière dont la radio est utilisée grâce à des expériences associant radio, téléphones portables et Internet. L’objectif est de fournir auxagriculteurs la vulgarisation numérique la plus rentable avec le maximumd’impact.Uliza(“demander”en swahili) est la plateforme de vulgarisation deFRI qui permet la participation des auditeurs, la mesure de l’audience et l’assurance de la qualité en intégrant des systèmes interactifs de réponsevocale, par radio et par téléphone portable. La plateforme en ligne permet aux stations de radio partenaires de faire participer des centaines, voire des milliers, d’auditeurs qui utilisent leurs téléphones portables avant, pendant et après la diffusion desémissions de radio agricoles. Les auditeurs peuvent voter, s’inscrire au service d’alertes, demander des informations précises sur les cultures et obtenir des réponses à leurs questions. Leprocessus est rapide, facile, participatif etsurtout gratuit. Les auditeurs peuvent aussi fairedes commentaires sur les programmes etles changements à apporter pour répondre à leurs besoins. Les émissions sont proposées aux auditeurs dans leur propre langue, contournant ainsil’obstacle de l’alphabétisation. Pour chaque épisode téléchargé chaque semaine sur Uliza, lepersonnel de FRI et les spécialistes du sujet participant au projet offrent leurs commentaires à l’équipe de la stationafin d’améliorer les épisodes suivants. Letableau de bord numérique d’Ulizapermet auxdiffuseurs detoucher les auditeursen temps réel. Jusqu’à présent, plus de70 des stations de radio partenaires deFRIauBurkina Faso, en Éthiopie, au Ghana, au Kenya, au Mali, au Nigeria, en Ouganda, au Sénégal eten Tanzanieont utilisé Ulizapour interagir avec plus de210000auditeurs.“C’est pour cela que je suis fier d’Uliza”,déclareKevin Perkins, directeur exécutif de FRI. “Les programmes radioinvitent les auditeursà partager leurs expériences ouopinions ou poser leursquestions par le biais d’Uliza. Les données recueillies leur reviennent directement–par les programmes radio qu’ils écoutent”,ajouteKevin Perkins. “Et ils peuvent être sûrs que les commentaires collectifs qu’ils proposent, rendus anonymes, atteignent les décideurs, parce qu’ils sont diffusés sur des ondes que tout le monde écoute–y compris les décideurs.”</w:t>
      </w:r>
    </w:p>
    <w:p w:rsidR="007328EB" w:rsidRPr="007328EB" w:rsidRDefault="007328EB" w:rsidP="00696659">
      <w:pPr>
        <w:shd w:val="clear" w:color="auto" w:fill="FFFFFF"/>
        <w:spacing w:line="240" w:lineRule="auto"/>
        <w:jc w:val="both"/>
        <w:rPr>
          <w:rFonts w:ascii="Georgia" w:eastAsia="Times New Roman" w:hAnsi="Georgia" w:cs="Times New Roman"/>
          <w:color w:val="3D3D3D"/>
          <w:sz w:val="21"/>
          <w:szCs w:val="21"/>
          <w:lang w:eastAsia="fr-CH"/>
        </w:rPr>
      </w:pPr>
    </w:p>
    <w:p w:rsidR="00616BC2" w:rsidRDefault="00616BC2" w:rsidP="00696659">
      <w:pPr>
        <w:jc w:val="both"/>
      </w:pPr>
    </w:p>
    <w:sectPr w:rsidR="00616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110A5"/>
    <w:multiLevelType w:val="multilevel"/>
    <w:tmpl w:val="762E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EB"/>
    <w:rsid w:val="00616BC2"/>
    <w:rsid w:val="00696659"/>
    <w:rsid w:val="007328EB"/>
    <w:rsid w:val="00887794"/>
    <w:rsid w:val="00A117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AE7B"/>
  <w15:chartTrackingRefBased/>
  <w15:docId w15:val="{F41000F4-4FFB-4011-812F-8CB2992F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32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paragraph" w:styleId="Titre3">
    <w:name w:val="heading 3"/>
    <w:basedOn w:val="Normal"/>
    <w:link w:val="Titre3Car"/>
    <w:uiPriority w:val="9"/>
    <w:qFormat/>
    <w:rsid w:val="007328EB"/>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28EB"/>
    <w:rPr>
      <w:rFonts w:ascii="Times New Roman" w:eastAsia="Times New Roman" w:hAnsi="Times New Roman" w:cs="Times New Roman"/>
      <w:b/>
      <w:bCs/>
      <w:kern w:val="36"/>
      <w:sz w:val="48"/>
      <w:szCs w:val="48"/>
      <w:lang w:eastAsia="fr-CH"/>
    </w:rPr>
  </w:style>
  <w:style w:type="character" w:customStyle="1" w:styleId="Titre3Car">
    <w:name w:val="Titre 3 Car"/>
    <w:basedOn w:val="Policepardfaut"/>
    <w:link w:val="Titre3"/>
    <w:uiPriority w:val="9"/>
    <w:rsid w:val="007328EB"/>
    <w:rPr>
      <w:rFonts w:ascii="Times New Roman" w:eastAsia="Times New Roman" w:hAnsi="Times New Roman" w:cs="Times New Roman"/>
      <w:b/>
      <w:bCs/>
      <w:sz w:val="27"/>
      <w:szCs w:val="27"/>
      <w:lang w:eastAsia="fr-CH"/>
    </w:rPr>
  </w:style>
  <w:style w:type="paragraph" w:customStyle="1" w:styleId="title">
    <w:name w:val="title"/>
    <w:basedOn w:val="Normal"/>
    <w:rsid w:val="007328EB"/>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7328EB"/>
    <w:rPr>
      <w:b/>
      <w:bCs/>
    </w:rPr>
  </w:style>
  <w:style w:type="paragraph" w:customStyle="1" w:styleId="caption">
    <w:name w:val="caption"/>
    <w:basedOn w:val="Normal"/>
    <w:rsid w:val="007328EB"/>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credit">
    <w:name w:val="credit"/>
    <w:basedOn w:val="Normal"/>
    <w:rsid w:val="007328EB"/>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share-listitem">
    <w:name w:val="share-list__item"/>
    <w:basedOn w:val="Normal"/>
    <w:rsid w:val="007328EB"/>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semiHidden/>
    <w:unhideWhenUsed/>
    <w:rsid w:val="007328EB"/>
    <w:rPr>
      <w:color w:val="0000FF"/>
      <w:u w:val="single"/>
    </w:rPr>
  </w:style>
  <w:style w:type="character" w:customStyle="1" w:styleId="is-narrative">
    <w:name w:val="is-narrative"/>
    <w:basedOn w:val="Policepardfaut"/>
    <w:rsid w:val="007328EB"/>
  </w:style>
  <w:style w:type="paragraph" w:customStyle="1" w:styleId="meta">
    <w:name w:val="meta"/>
    <w:basedOn w:val="Normal"/>
    <w:rsid w:val="007328EB"/>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gutters">
    <w:name w:val="gutters"/>
    <w:basedOn w:val="Normal"/>
    <w:rsid w:val="007328EB"/>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paragraph">
    <w:name w:val="paragraph"/>
    <w:basedOn w:val="Normal"/>
    <w:rsid w:val="007328EB"/>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364884">
      <w:bodyDiv w:val="1"/>
      <w:marLeft w:val="0"/>
      <w:marRight w:val="0"/>
      <w:marTop w:val="0"/>
      <w:marBottom w:val="0"/>
      <w:divBdr>
        <w:top w:val="none" w:sz="0" w:space="0" w:color="auto"/>
        <w:left w:val="none" w:sz="0" w:space="0" w:color="auto"/>
        <w:bottom w:val="none" w:sz="0" w:space="0" w:color="auto"/>
        <w:right w:val="none" w:sz="0" w:space="0" w:color="auto"/>
      </w:divBdr>
      <w:divsChild>
        <w:div w:id="60645382">
          <w:marLeft w:val="0"/>
          <w:marRight w:val="0"/>
          <w:marTop w:val="0"/>
          <w:marBottom w:val="0"/>
          <w:divBdr>
            <w:top w:val="none" w:sz="0" w:space="0" w:color="auto"/>
            <w:left w:val="none" w:sz="0" w:space="0" w:color="auto"/>
            <w:bottom w:val="none" w:sz="0" w:space="0" w:color="auto"/>
            <w:right w:val="none" w:sz="0" w:space="0" w:color="auto"/>
          </w:divBdr>
          <w:divsChild>
            <w:div w:id="2091468101">
              <w:marLeft w:val="0"/>
              <w:marRight w:val="0"/>
              <w:marTop w:val="0"/>
              <w:marBottom w:val="0"/>
              <w:divBdr>
                <w:top w:val="none" w:sz="0" w:space="0" w:color="auto"/>
                <w:left w:val="none" w:sz="0" w:space="0" w:color="auto"/>
                <w:bottom w:val="none" w:sz="0" w:space="0" w:color="auto"/>
                <w:right w:val="none" w:sz="0" w:space="0" w:color="auto"/>
              </w:divBdr>
            </w:div>
            <w:div w:id="178474773">
              <w:marLeft w:val="0"/>
              <w:marRight w:val="0"/>
              <w:marTop w:val="0"/>
              <w:marBottom w:val="0"/>
              <w:divBdr>
                <w:top w:val="none" w:sz="0" w:space="0" w:color="auto"/>
                <w:left w:val="none" w:sz="0" w:space="0" w:color="auto"/>
                <w:bottom w:val="none" w:sz="0" w:space="0" w:color="auto"/>
                <w:right w:val="none" w:sz="0" w:space="0" w:color="auto"/>
              </w:divBdr>
            </w:div>
          </w:divsChild>
        </w:div>
        <w:div w:id="1028415225">
          <w:marLeft w:val="0"/>
          <w:marRight w:val="0"/>
          <w:marTop w:val="0"/>
          <w:marBottom w:val="900"/>
          <w:divBdr>
            <w:top w:val="none" w:sz="0" w:space="0" w:color="auto"/>
            <w:left w:val="none" w:sz="0" w:space="0" w:color="auto"/>
            <w:bottom w:val="none" w:sz="0" w:space="0" w:color="auto"/>
            <w:right w:val="none" w:sz="0" w:space="0" w:color="auto"/>
          </w:divBdr>
          <w:divsChild>
            <w:div w:id="478226957">
              <w:marLeft w:val="0"/>
              <w:marRight w:val="0"/>
              <w:marTop w:val="0"/>
              <w:marBottom w:val="0"/>
              <w:divBdr>
                <w:top w:val="none" w:sz="0" w:space="0" w:color="auto"/>
                <w:left w:val="none" w:sz="0" w:space="0" w:color="auto"/>
                <w:bottom w:val="none" w:sz="0" w:space="0" w:color="auto"/>
                <w:right w:val="none" w:sz="0" w:space="0" w:color="auto"/>
              </w:divBdr>
              <w:divsChild>
                <w:div w:id="851382579">
                  <w:marLeft w:val="0"/>
                  <w:marRight w:val="0"/>
                  <w:marTop w:val="0"/>
                  <w:marBottom w:val="450"/>
                  <w:divBdr>
                    <w:top w:val="none" w:sz="0" w:space="0" w:color="auto"/>
                    <w:left w:val="none" w:sz="0" w:space="0" w:color="auto"/>
                    <w:bottom w:val="none" w:sz="0" w:space="0" w:color="auto"/>
                    <w:right w:val="none" w:sz="0" w:space="0" w:color="auto"/>
                  </w:divBdr>
                </w:div>
                <w:div w:id="1352951669">
                  <w:marLeft w:val="0"/>
                  <w:marRight w:val="0"/>
                  <w:marTop w:val="45"/>
                  <w:marBottom w:val="0"/>
                  <w:divBdr>
                    <w:top w:val="none" w:sz="0" w:space="0" w:color="auto"/>
                    <w:left w:val="none" w:sz="0" w:space="0" w:color="auto"/>
                    <w:bottom w:val="none" w:sz="0" w:space="0" w:color="auto"/>
                    <w:right w:val="none" w:sz="0" w:space="0" w:color="auto"/>
                  </w:divBdr>
                </w:div>
                <w:div w:id="191964443">
                  <w:marLeft w:val="0"/>
                  <w:marRight w:val="0"/>
                  <w:marTop w:val="0"/>
                  <w:marBottom w:val="0"/>
                  <w:divBdr>
                    <w:top w:val="none" w:sz="0" w:space="0" w:color="auto"/>
                    <w:left w:val="none" w:sz="0" w:space="0" w:color="auto"/>
                    <w:bottom w:val="none" w:sz="0" w:space="0" w:color="auto"/>
                    <w:right w:val="none" w:sz="0" w:space="0" w:color="auto"/>
                  </w:divBdr>
                  <w:divsChild>
                    <w:div w:id="6267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ewresearch.org/wp-content/uploads/sites/2/2018/06/15135408/Pew-Research-Center_Global-Tech-Social-Media-Use_2018.06.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2563</Words>
  <Characters>14097</Characters>
  <Application>Microsoft Office Word</Application>
  <DocSecurity>0</DocSecurity>
  <Lines>117</Lines>
  <Paragraphs>33</Paragraphs>
  <ScaleCrop>false</ScaleCrop>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CEAS</dc:creator>
  <cp:keywords/>
  <dc:description/>
  <cp:lastModifiedBy>CEAS</cp:lastModifiedBy>
  <cp:revision>3</cp:revision>
  <dcterms:created xsi:type="dcterms:W3CDTF">2019-08-28T11:20:00Z</dcterms:created>
  <dcterms:modified xsi:type="dcterms:W3CDTF">2019-08-28T11:25:00Z</dcterms:modified>
</cp:coreProperties>
</file>